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2E827">
      <w:pPr>
        <w:ind w:firstLine="723"/>
        <w:jc w:val="center"/>
        <w:rPr>
          <w:rFonts w:hint="eastAsia" w:ascii="仿宋" w:hAnsi="仿宋" w:eastAsia="仿宋" w:cs="仿宋"/>
          <w:b/>
          <w:bCs/>
          <w:sz w:val="36"/>
          <w:szCs w:val="44"/>
        </w:rPr>
      </w:pPr>
      <w:r>
        <w:rPr>
          <w:rFonts w:hint="eastAsia" w:ascii="仿宋" w:hAnsi="仿宋" w:eastAsia="仿宋" w:cs="仿宋"/>
          <w:b/>
          <w:bCs/>
          <w:sz w:val="36"/>
          <w:szCs w:val="44"/>
        </w:rPr>
        <w:t>大连交通大学电气工程学院</w:t>
      </w:r>
    </w:p>
    <w:p w14:paraId="484109E4">
      <w:pPr>
        <w:ind w:firstLine="723"/>
        <w:jc w:val="center"/>
        <w:rPr>
          <w:rFonts w:hint="eastAsia" w:ascii="仿宋" w:hAnsi="仿宋" w:eastAsia="仿宋" w:cs="仿宋"/>
          <w:b/>
          <w:bCs/>
          <w:sz w:val="36"/>
          <w:szCs w:val="44"/>
        </w:rPr>
      </w:pPr>
      <w:r>
        <w:rPr>
          <w:rFonts w:hint="eastAsia" w:ascii="仿宋" w:hAnsi="仿宋" w:eastAsia="仿宋" w:cs="仿宋"/>
          <w:b/>
          <w:bCs/>
          <w:sz w:val="36"/>
          <w:szCs w:val="44"/>
        </w:rPr>
        <w:t>2025年硕士研究生招生调剂考生复试工作安排</w:t>
      </w:r>
    </w:p>
    <w:p w14:paraId="0225550F">
      <w:pPr>
        <w:spacing w:line="360" w:lineRule="auto"/>
        <w:ind w:firstLine="480"/>
        <w:rPr>
          <w:rFonts w:hint="eastAsia" w:ascii="仿宋" w:hAnsi="仿宋" w:eastAsia="仿宋" w:cs="仿宋"/>
          <w:b/>
          <w:bCs/>
          <w:sz w:val="24"/>
          <w:szCs w:val="32"/>
        </w:rPr>
      </w:pPr>
      <w:r>
        <w:rPr>
          <w:rFonts w:hint="eastAsia" w:ascii="仿宋" w:hAnsi="仿宋" w:eastAsia="仿宋" w:cs="仿宋"/>
          <w:b/>
          <w:bCs/>
          <w:sz w:val="24"/>
          <w:szCs w:val="32"/>
        </w:rPr>
        <w:t>一、考生调剂基本条件</w:t>
      </w:r>
    </w:p>
    <w:p w14:paraId="6D3CE32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 初试成绩须符合第一志愿报考专业在调入地区的全国初试成绩基本要求，并符合调入专业的报考条件。</w:t>
      </w:r>
    </w:p>
    <w:p w14:paraId="53E2828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2．初试外语语种与调入专业要求的外语语种相同。</w:t>
      </w:r>
    </w:p>
    <w:p w14:paraId="33B5F9C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3．调剂考生第一志愿报考专业符合学校要求。</w:t>
      </w:r>
    </w:p>
    <w:p w14:paraId="673B98A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4．调入非全日制专业的考生应为在职定向就业人员。</w:t>
      </w:r>
    </w:p>
    <w:p w14:paraId="745D7286">
      <w:pPr>
        <w:spacing w:line="360" w:lineRule="auto"/>
        <w:ind w:firstLine="480"/>
        <w:rPr>
          <w:rFonts w:hint="eastAsia" w:ascii="仿宋" w:hAnsi="仿宋" w:eastAsia="仿宋" w:cs="仿宋"/>
          <w:b/>
          <w:bCs/>
          <w:sz w:val="24"/>
          <w:szCs w:val="32"/>
        </w:rPr>
      </w:pPr>
      <w:r>
        <w:rPr>
          <w:rFonts w:hint="eastAsia" w:ascii="仿宋" w:hAnsi="仿宋" w:eastAsia="仿宋" w:cs="仿宋"/>
          <w:b/>
          <w:bCs/>
          <w:sz w:val="24"/>
          <w:szCs w:val="32"/>
        </w:rPr>
        <w:t>二、遴选规则</w:t>
      </w:r>
    </w:p>
    <w:p w14:paraId="3FFF6FAC">
      <w:pPr>
        <w:spacing w:line="360" w:lineRule="auto"/>
        <w:ind w:firstLine="482" w:firstLineChars="200"/>
        <w:rPr>
          <w:rFonts w:hint="eastAsia" w:ascii="仿宋" w:hAnsi="仿宋" w:eastAsia="仿宋" w:cs="仿宋"/>
          <w:sz w:val="24"/>
          <w:szCs w:val="32"/>
        </w:rPr>
      </w:pPr>
      <w:r>
        <w:rPr>
          <w:rFonts w:hint="eastAsia" w:ascii="仿宋" w:hAnsi="仿宋" w:eastAsia="仿宋" w:cs="仿宋"/>
          <w:b/>
          <w:bCs/>
          <w:sz w:val="24"/>
          <w:szCs w:val="32"/>
        </w:rPr>
        <w:t>第一志愿报考专业代码与调入专业代码前四位相同的调剂考生，按照初试成绩总分由高到低排序优先进行遴选；遴选完毕，若有缺额，则其他调剂考生按照初试成绩总分由高到低排序进行遴选。</w:t>
      </w:r>
    </w:p>
    <w:p w14:paraId="456BF007">
      <w:pPr>
        <w:spacing w:line="360" w:lineRule="auto"/>
        <w:ind w:firstLine="480"/>
        <w:rPr>
          <w:rFonts w:hint="eastAsia" w:ascii="仿宋" w:hAnsi="仿宋" w:eastAsia="仿宋" w:cs="仿宋"/>
          <w:b/>
          <w:bCs/>
          <w:sz w:val="24"/>
          <w:szCs w:val="32"/>
        </w:rPr>
      </w:pPr>
      <w:r>
        <w:rPr>
          <w:rFonts w:hint="eastAsia" w:ascii="仿宋" w:hAnsi="仿宋" w:eastAsia="仿宋" w:cs="仿宋"/>
          <w:b/>
          <w:bCs/>
          <w:sz w:val="24"/>
          <w:szCs w:val="32"/>
        </w:rPr>
        <w:t>三、调剂流程</w:t>
      </w:r>
    </w:p>
    <w:p w14:paraId="58E40E8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1．网上报名。</w:t>
      </w:r>
    </w:p>
    <w:p w14:paraId="400DACD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2．登录网址：“中国研究生招生信息网”（网址：https://yz.chsi.com.cn/）的“全国硕士研究生招生调剂服务系统”（以下简称“调剂网”）。</w:t>
      </w:r>
    </w:p>
    <w:p w14:paraId="67AD0B4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3．考生登录“调剂网”提交调剂申请—&gt;学校在36小时内向考生发送调剂复试通知—&gt;考生在规定时间内确认接受调剂复试通知—&gt;考生在规定时间内参加复试。</w:t>
      </w:r>
    </w:p>
    <w:p w14:paraId="7497563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4．在学校规定时间内未确认接受调剂复试通知者或确认接受调剂复试通知</w:t>
      </w:r>
      <w:r>
        <w:rPr>
          <w:rFonts w:hint="eastAsia" w:ascii="仿宋" w:hAnsi="仿宋" w:eastAsia="仿宋" w:cs="仿宋"/>
          <w:b/>
          <w:bCs/>
          <w:color w:val="0000FF"/>
          <w:sz w:val="24"/>
          <w:szCs w:val="32"/>
        </w:rPr>
        <w:t>但未在规定时间内参加复试者视为放弃调剂资格</w:t>
      </w:r>
      <w:r>
        <w:rPr>
          <w:rFonts w:hint="eastAsia" w:ascii="仿宋" w:hAnsi="仿宋" w:eastAsia="仿宋" w:cs="仿宋"/>
          <w:sz w:val="24"/>
          <w:szCs w:val="32"/>
        </w:rPr>
        <w:t>。</w:t>
      </w:r>
    </w:p>
    <w:p w14:paraId="6CD3ACF5">
      <w:pPr>
        <w:spacing w:line="360" w:lineRule="auto"/>
        <w:ind w:firstLine="480"/>
        <w:rPr>
          <w:rFonts w:hint="eastAsia" w:ascii="仿宋" w:hAnsi="仿宋" w:eastAsia="仿宋" w:cs="仿宋"/>
          <w:b/>
          <w:bCs/>
          <w:sz w:val="24"/>
          <w:szCs w:val="32"/>
        </w:rPr>
      </w:pPr>
      <w:r>
        <w:rPr>
          <w:rFonts w:hint="eastAsia" w:ascii="仿宋" w:hAnsi="仿宋" w:eastAsia="仿宋" w:cs="仿宋"/>
          <w:b/>
          <w:bCs/>
          <w:sz w:val="24"/>
          <w:szCs w:val="32"/>
        </w:rPr>
        <w:t>四、调剂专业及时间安排</w:t>
      </w:r>
    </w:p>
    <w:p w14:paraId="0F9F34B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一</w:t>
      </w:r>
      <w:r>
        <w:rPr>
          <w:rFonts w:hint="eastAsia" w:ascii="仿宋" w:hAnsi="仿宋" w:eastAsia="仿宋" w:cs="仿宋"/>
          <w:sz w:val="24"/>
          <w:szCs w:val="32"/>
          <w:lang w:eastAsia="zh-CN"/>
        </w:rPr>
        <w:t>）</w:t>
      </w:r>
      <w:r>
        <w:rPr>
          <w:rFonts w:hint="eastAsia" w:ascii="仿宋" w:hAnsi="仿宋" w:eastAsia="仿宋" w:cs="仿宋"/>
          <w:sz w:val="24"/>
          <w:szCs w:val="32"/>
        </w:rPr>
        <w:t>接受调剂专业及要求</w:t>
      </w:r>
    </w:p>
    <w:tbl>
      <w:tblPr>
        <w:tblStyle w:val="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057"/>
        <w:gridCol w:w="855"/>
        <w:gridCol w:w="626"/>
        <w:gridCol w:w="695"/>
        <w:gridCol w:w="4172"/>
      </w:tblGrid>
      <w:tr w14:paraId="36CE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553" w:type="pct"/>
            <w:tcBorders>
              <w:tl2br w:val="nil"/>
              <w:tr2bl w:val="nil"/>
            </w:tcBorders>
            <w:shd w:val="clear" w:color="auto" w:fill="DBE3F4" w:themeFill="accent1" w:themeFillTint="32"/>
            <w:vAlign w:val="center"/>
          </w:tcPr>
          <w:p w14:paraId="69B5C769">
            <w:pPr>
              <w:widowControl/>
              <w:rPr>
                <w:rFonts w:hint="eastAsia" w:ascii="仿宋" w:hAnsi="仿宋" w:eastAsia="仿宋" w:cs="仿宋"/>
                <w:color w:val="000000"/>
                <w:sz w:val="20"/>
                <w:szCs w:val="20"/>
              </w:rPr>
            </w:pPr>
            <w:r>
              <w:rPr>
                <w:rFonts w:hint="eastAsia" w:ascii="仿宋" w:hAnsi="仿宋" w:eastAsia="仿宋" w:cs="仿宋"/>
                <w:color w:val="000000"/>
                <w:sz w:val="20"/>
                <w:szCs w:val="20"/>
              </w:rPr>
              <w:t>专业代码</w:t>
            </w:r>
          </w:p>
        </w:tc>
        <w:tc>
          <w:tcPr>
            <w:tcW w:w="634" w:type="pct"/>
            <w:tcBorders>
              <w:tl2br w:val="nil"/>
              <w:tr2bl w:val="nil"/>
            </w:tcBorders>
            <w:shd w:val="clear" w:color="auto" w:fill="DBE3F4" w:themeFill="accent1" w:themeFillTint="32"/>
            <w:vAlign w:val="center"/>
          </w:tcPr>
          <w:p w14:paraId="7DB0082B">
            <w:pPr>
              <w:widowControl/>
              <w:rPr>
                <w:rFonts w:hint="eastAsia" w:ascii="仿宋" w:hAnsi="仿宋" w:eastAsia="仿宋" w:cs="仿宋"/>
                <w:color w:val="000000"/>
                <w:sz w:val="20"/>
                <w:szCs w:val="20"/>
              </w:rPr>
            </w:pPr>
            <w:r>
              <w:rPr>
                <w:rFonts w:hint="eastAsia" w:ascii="仿宋" w:hAnsi="仿宋" w:eastAsia="仿宋" w:cs="仿宋"/>
                <w:color w:val="000000"/>
                <w:sz w:val="20"/>
                <w:szCs w:val="20"/>
              </w:rPr>
              <w:t>专业名称</w:t>
            </w:r>
          </w:p>
        </w:tc>
        <w:tc>
          <w:tcPr>
            <w:tcW w:w="513" w:type="pct"/>
            <w:tcBorders>
              <w:tl2br w:val="nil"/>
              <w:tr2bl w:val="nil"/>
            </w:tcBorders>
            <w:shd w:val="clear" w:color="auto" w:fill="DBE3F4" w:themeFill="accent1" w:themeFillTint="32"/>
            <w:vAlign w:val="center"/>
          </w:tcPr>
          <w:p w14:paraId="65365194">
            <w:pPr>
              <w:widowControl/>
              <w:rPr>
                <w:rFonts w:hint="eastAsia" w:ascii="仿宋" w:hAnsi="仿宋" w:eastAsia="仿宋" w:cs="仿宋"/>
                <w:color w:val="000000"/>
                <w:sz w:val="20"/>
                <w:szCs w:val="20"/>
              </w:rPr>
            </w:pPr>
            <w:r>
              <w:rPr>
                <w:rFonts w:hint="eastAsia" w:ascii="仿宋" w:hAnsi="仿宋" w:eastAsia="仿宋" w:cs="仿宋"/>
                <w:color w:val="000000"/>
                <w:sz w:val="20"/>
                <w:szCs w:val="20"/>
              </w:rPr>
              <w:t>调剂名额</w:t>
            </w:r>
          </w:p>
        </w:tc>
        <w:tc>
          <w:tcPr>
            <w:tcW w:w="375" w:type="pct"/>
            <w:tcBorders>
              <w:tl2br w:val="nil"/>
              <w:tr2bl w:val="nil"/>
            </w:tcBorders>
            <w:shd w:val="clear" w:color="auto" w:fill="DBE3F4" w:themeFill="accent1" w:themeFillTint="32"/>
          </w:tcPr>
          <w:p w14:paraId="709F0AB5">
            <w:pPr>
              <w:widowControl/>
              <w:jc w:val="both"/>
              <w:rPr>
                <w:rFonts w:hint="eastAsia" w:ascii="仿宋" w:hAnsi="仿宋" w:eastAsia="仿宋" w:cs="仿宋"/>
                <w:color w:val="000000"/>
                <w:sz w:val="20"/>
                <w:szCs w:val="20"/>
              </w:rPr>
            </w:pPr>
            <w:r>
              <w:rPr>
                <w:rFonts w:hint="eastAsia" w:ascii="仿宋" w:hAnsi="仿宋" w:eastAsia="仿宋" w:cs="仿宋"/>
                <w:color w:val="000000"/>
                <w:sz w:val="20"/>
                <w:szCs w:val="20"/>
              </w:rPr>
              <w:t>外语</w:t>
            </w:r>
          </w:p>
          <w:p w14:paraId="2AD2C65C">
            <w:pPr>
              <w:widowControl/>
              <w:jc w:val="both"/>
              <w:rPr>
                <w:rFonts w:hint="eastAsia" w:ascii="仿宋" w:hAnsi="仿宋" w:eastAsia="仿宋" w:cs="仿宋"/>
                <w:color w:val="000000"/>
                <w:sz w:val="20"/>
                <w:szCs w:val="20"/>
              </w:rPr>
            </w:pPr>
            <w:r>
              <w:rPr>
                <w:rFonts w:hint="eastAsia" w:ascii="仿宋" w:hAnsi="仿宋" w:eastAsia="仿宋" w:cs="仿宋"/>
                <w:color w:val="000000"/>
                <w:sz w:val="20"/>
                <w:szCs w:val="20"/>
              </w:rPr>
              <w:t>科目</w:t>
            </w:r>
          </w:p>
        </w:tc>
        <w:tc>
          <w:tcPr>
            <w:tcW w:w="417" w:type="pct"/>
            <w:tcBorders>
              <w:tl2br w:val="nil"/>
              <w:tr2bl w:val="nil"/>
            </w:tcBorders>
            <w:shd w:val="clear" w:color="auto" w:fill="DBE3F4" w:themeFill="accent1" w:themeFillTint="32"/>
            <w:vAlign w:val="center"/>
          </w:tcPr>
          <w:p w14:paraId="75863B97">
            <w:pPr>
              <w:widowControl/>
              <w:jc w:val="both"/>
              <w:rPr>
                <w:rFonts w:hint="eastAsia" w:ascii="仿宋" w:hAnsi="仿宋" w:eastAsia="仿宋" w:cs="仿宋"/>
                <w:color w:val="000000"/>
                <w:sz w:val="20"/>
                <w:szCs w:val="20"/>
              </w:rPr>
            </w:pPr>
            <w:r>
              <w:rPr>
                <w:rFonts w:hint="eastAsia" w:ascii="仿宋" w:hAnsi="仿宋" w:eastAsia="仿宋" w:cs="仿宋"/>
                <w:color w:val="000000"/>
                <w:sz w:val="20"/>
                <w:szCs w:val="20"/>
              </w:rPr>
              <w:t>学习</w:t>
            </w:r>
          </w:p>
          <w:p w14:paraId="6FE4939F">
            <w:pPr>
              <w:widowControl/>
              <w:jc w:val="both"/>
              <w:rPr>
                <w:rFonts w:hint="eastAsia" w:ascii="仿宋" w:hAnsi="仿宋" w:eastAsia="仿宋" w:cs="仿宋"/>
                <w:color w:val="000000"/>
                <w:sz w:val="20"/>
                <w:szCs w:val="20"/>
              </w:rPr>
            </w:pPr>
            <w:r>
              <w:rPr>
                <w:rFonts w:hint="eastAsia" w:ascii="仿宋" w:hAnsi="仿宋" w:eastAsia="仿宋" w:cs="仿宋"/>
                <w:color w:val="000000"/>
                <w:sz w:val="20"/>
                <w:szCs w:val="20"/>
              </w:rPr>
              <w:t>方式</w:t>
            </w:r>
          </w:p>
        </w:tc>
        <w:tc>
          <w:tcPr>
            <w:tcW w:w="2505" w:type="pct"/>
            <w:tcBorders>
              <w:tl2br w:val="nil"/>
              <w:tr2bl w:val="nil"/>
            </w:tcBorders>
            <w:shd w:val="clear" w:color="auto" w:fill="DBE3F4" w:themeFill="accent1" w:themeFillTint="32"/>
            <w:vAlign w:val="center"/>
          </w:tcPr>
          <w:p w14:paraId="2F003A71">
            <w:pPr>
              <w:widowControl/>
              <w:jc w:val="center"/>
              <w:rPr>
                <w:rFonts w:hint="eastAsia" w:ascii="仿宋" w:hAnsi="仿宋" w:eastAsia="仿宋" w:cs="仿宋"/>
                <w:color w:val="000000"/>
                <w:sz w:val="20"/>
                <w:szCs w:val="20"/>
              </w:rPr>
            </w:pPr>
            <w:r>
              <w:rPr>
                <w:rFonts w:hint="eastAsia" w:ascii="仿宋" w:hAnsi="仿宋" w:eastAsia="仿宋" w:cs="仿宋"/>
                <w:b w:val="0"/>
                <w:bCs w:val="0"/>
                <w:color w:val="000000"/>
                <w:szCs w:val="21"/>
              </w:rPr>
              <w:t>调剂考生第一志愿专业范围</w:t>
            </w:r>
          </w:p>
        </w:tc>
      </w:tr>
      <w:tr w14:paraId="17DB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pct"/>
            <w:tcBorders>
              <w:tl2br w:val="nil"/>
              <w:tr2bl w:val="nil"/>
            </w:tcBorders>
            <w:shd w:val="clear" w:color="auto" w:fill="FEFEFE"/>
            <w:vAlign w:val="center"/>
          </w:tcPr>
          <w:p w14:paraId="5B8B6312">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081100</w:t>
            </w:r>
          </w:p>
        </w:tc>
        <w:tc>
          <w:tcPr>
            <w:tcW w:w="634" w:type="pct"/>
            <w:tcBorders>
              <w:tl2br w:val="nil"/>
              <w:tr2bl w:val="nil"/>
            </w:tcBorders>
            <w:shd w:val="clear" w:color="auto" w:fill="FEFEFE"/>
            <w:vAlign w:val="center"/>
          </w:tcPr>
          <w:p w14:paraId="0D648029">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控制科学与工程</w:t>
            </w:r>
          </w:p>
        </w:tc>
        <w:tc>
          <w:tcPr>
            <w:tcW w:w="513" w:type="pct"/>
            <w:tcBorders>
              <w:tl2br w:val="nil"/>
              <w:tr2bl w:val="nil"/>
            </w:tcBorders>
            <w:shd w:val="clear" w:color="auto" w:fill="FEFEFE"/>
            <w:vAlign w:val="center"/>
          </w:tcPr>
          <w:p w14:paraId="63955778">
            <w:pPr>
              <w:widowControl/>
              <w:ind w:firstLine="361"/>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31</w:t>
            </w:r>
          </w:p>
        </w:tc>
        <w:tc>
          <w:tcPr>
            <w:tcW w:w="375" w:type="pct"/>
            <w:tcBorders>
              <w:tl2br w:val="nil"/>
              <w:tr2bl w:val="nil"/>
            </w:tcBorders>
            <w:shd w:val="clear" w:color="auto" w:fill="FEFEFE"/>
            <w:vAlign w:val="center"/>
          </w:tcPr>
          <w:p w14:paraId="59321C18">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英语</w:t>
            </w:r>
          </w:p>
        </w:tc>
        <w:tc>
          <w:tcPr>
            <w:tcW w:w="417" w:type="pct"/>
            <w:tcBorders>
              <w:tl2br w:val="nil"/>
              <w:tr2bl w:val="nil"/>
            </w:tcBorders>
            <w:shd w:val="clear" w:color="auto" w:fill="FEFEFE"/>
            <w:vAlign w:val="center"/>
          </w:tcPr>
          <w:p w14:paraId="734987BC">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全日制</w:t>
            </w:r>
          </w:p>
        </w:tc>
        <w:tc>
          <w:tcPr>
            <w:tcW w:w="2505" w:type="pct"/>
            <w:tcBorders>
              <w:tl2br w:val="nil"/>
              <w:tr2bl w:val="nil"/>
            </w:tcBorders>
            <w:shd w:val="clear" w:color="auto" w:fill="FEFEFE"/>
            <w:vAlign w:val="center"/>
          </w:tcPr>
          <w:p w14:paraId="66E91BC6">
            <w:pPr>
              <w:widowControl/>
              <w:ind w:firstLine="361"/>
              <w:jc w:val="left"/>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0802机械工程、0804仪器科学与技术、0808电气工程、0809电子科学与技术、0810信息与通信工程、0811控制科学与工程、0812计算机科学与技术、0816测绘科学与技术、0823交通运输工程、0825航空宇航科学与技术、0828农业工程、0854电子信息、0855机械、0858能源动力，以上专业及其下设的二级学科或专业领域，且业务课一为统考数学；0774电子科学与技术、0775计算机科学与技术专业及下设二级学科</w:t>
            </w:r>
          </w:p>
        </w:tc>
      </w:tr>
      <w:tr w14:paraId="5E2B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pct"/>
            <w:tcBorders>
              <w:tl2br w:val="nil"/>
              <w:tr2bl w:val="nil"/>
            </w:tcBorders>
            <w:shd w:val="clear" w:color="auto" w:fill="FEFEFE"/>
            <w:vAlign w:val="center"/>
          </w:tcPr>
          <w:p w14:paraId="57A874B3">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082302</w:t>
            </w:r>
          </w:p>
        </w:tc>
        <w:tc>
          <w:tcPr>
            <w:tcW w:w="634" w:type="pct"/>
            <w:tcBorders>
              <w:tl2br w:val="nil"/>
              <w:tr2bl w:val="nil"/>
            </w:tcBorders>
            <w:shd w:val="clear" w:color="auto" w:fill="FEFEFE"/>
            <w:vAlign w:val="center"/>
          </w:tcPr>
          <w:p w14:paraId="7491CFF7">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交通信息工程及控制</w:t>
            </w:r>
          </w:p>
        </w:tc>
        <w:tc>
          <w:tcPr>
            <w:tcW w:w="513" w:type="pct"/>
            <w:tcBorders>
              <w:tl2br w:val="nil"/>
              <w:tr2bl w:val="nil"/>
            </w:tcBorders>
            <w:shd w:val="clear" w:color="auto" w:fill="FEFEFE"/>
            <w:vAlign w:val="center"/>
          </w:tcPr>
          <w:p w14:paraId="18E427E0">
            <w:pPr>
              <w:widowControl/>
              <w:ind w:firstLine="361"/>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375" w:type="pct"/>
            <w:tcBorders>
              <w:tl2br w:val="nil"/>
              <w:tr2bl w:val="nil"/>
            </w:tcBorders>
            <w:shd w:val="clear" w:color="auto" w:fill="FEFEFE"/>
            <w:vAlign w:val="center"/>
          </w:tcPr>
          <w:p w14:paraId="4E7889B0">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英语</w:t>
            </w:r>
          </w:p>
        </w:tc>
        <w:tc>
          <w:tcPr>
            <w:tcW w:w="417" w:type="pct"/>
            <w:tcBorders>
              <w:tl2br w:val="nil"/>
              <w:tr2bl w:val="nil"/>
            </w:tcBorders>
            <w:shd w:val="clear" w:color="auto" w:fill="FEFEFE"/>
            <w:vAlign w:val="center"/>
          </w:tcPr>
          <w:p w14:paraId="03DA7AA5">
            <w:pPr>
              <w:widowControl/>
              <w:jc w:val="both"/>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全日制</w:t>
            </w:r>
          </w:p>
        </w:tc>
        <w:tc>
          <w:tcPr>
            <w:tcW w:w="2505" w:type="pct"/>
            <w:tcBorders>
              <w:tl2br w:val="nil"/>
              <w:tr2bl w:val="nil"/>
            </w:tcBorders>
            <w:shd w:val="clear" w:color="auto" w:fill="FEFEFE"/>
            <w:vAlign w:val="center"/>
          </w:tcPr>
          <w:p w14:paraId="6F9FBD3E">
            <w:pPr>
              <w:widowControl/>
              <w:ind w:firstLine="361"/>
              <w:jc w:val="left"/>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0808电气工程、0810信息与通信工程、0811控制科学与工程、0854电子信息，以上专业及其下设的二级学科或专业领域；082302交通信息工程及控制</w:t>
            </w:r>
          </w:p>
        </w:tc>
      </w:tr>
      <w:tr w14:paraId="34A4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pct"/>
            <w:tcBorders>
              <w:tl2br w:val="nil"/>
              <w:tr2bl w:val="nil"/>
            </w:tcBorders>
            <w:shd w:val="clear" w:color="auto" w:fill="FEFEFE"/>
            <w:vAlign w:val="center"/>
          </w:tcPr>
          <w:p w14:paraId="1653D030">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085400</w:t>
            </w:r>
          </w:p>
        </w:tc>
        <w:tc>
          <w:tcPr>
            <w:tcW w:w="634" w:type="pct"/>
            <w:tcBorders>
              <w:tl2br w:val="nil"/>
              <w:tr2bl w:val="nil"/>
            </w:tcBorders>
            <w:shd w:val="clear" w:color="auto" w:fill="FEFEFE"/>
            <w:vAlign w:val="center"/>
          </w:tcPr>
          <w:p w14:paraId="28669176">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电子信息</w:t>
            </w:r>
          </w:p>
        </w:tc>
        <w:tc>
          <w:tcPr>
            <w:tcW w:w="513" w:type="pct"/>
            <w:tcBorders>
              <w:tl2br w:val="nil"/>
              <w:tr2bl w:val="nil"/>
            </w:tcBorders>
            <w:shd w:val="clear" w:color="auto" w:fill="FEFEFE"/>
            <w:vAlign w:val="center"/>
          </w:tcPr>
          <w:p w14:paraId="01E73569">
            <w:pPr>
              <w:widowControl/>
              <w:ind w:firstLine="361"/>
              <w:jc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375" w:type="pct"/>
            <w:tcBorders>
              <w:tl2br w:val="nil"/>
              <w:tr2bl w:val="nil"/>
            </w:tcBorders>
            <w:shd w:val="clear" w:color="auto" w:fill="FEFEFE"/>
            <w:vAlign w:val="center"/>
          </w:tcPr>
          <w:p w14:paraId="1A7277EF">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英语</w:t>
            </w:r>
          </w:p>
        </w:tc>
        <w:tc>
          <w:tcPr>
            <w:tcW w:w="417" w:type="pct"/>
            <w:tcBorders>
              <w:tl2br w:val="nil"/>
              <w:tr2bl w:val="nil"/>
            </w:tcBorders>
            <w:shd w:val="clear" w:color="auto" w:fill="FEFEFE"/>
            <w:vAlign w:val="center"/>
          </w:tcPr>
          <w:p w14:paraId="1DF8B2F2">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全日制</w:t>
            </w:r>
          </w:p>
        </w:tc>
        <w:tc>
          <w:tcPr>
            <w:tcW w:w="2505" w:type="pct"/>
            <w:tcBorders>
              <w:tl2br w:val="nil"/>
              <w:tr2bl w:val="nil"/>
            </w:tcBorders>
            <w:shd w:val="clear" w:color="auto" w:fill="FEFEFE"/>
            <w:vAlign w:val="center"/>
          </w:tcPr>
          <w:p w14:paraId="68F5B16D">
            <w:pPr>
              <w:widowControl/>
              <w:ind w:firstLine="402"/>
              <w:jc w:val="left"/>
              <w:rPr>
                <w:rFonts w:hint="eastAsia" w:ascii="仿宋" w:hAnsi="仿宋" w:eastAsia="仿宋" w:cs="仿宋"/>
                <w:color w:val="000000"/>
                <w:sz w:val="20"/>
                <w:szCs w:val="20"/>
              </w:rPr>
            </w:pPr>
            <w:r>
              <w:rPr>
                <w:rFonts w:hint="eastAsia" w:ascii="仿宋" w:hAnsi="仿宋" w:eastAsia="仿宋" w:cs="仿宋"/>
                <w:color w:val="000000"/>
                <w:sz w:val="20"/>
                <w:szCs w:val="20"/>
              </w:rPr>
              <w:t>0804仪器科学与技术、0808电气工程、0810信息与通信工程、0811控制科学与工程、0812计算机科学与技术、0854电子信息，以上专业及其下设的二级学科或专业领域；085800能源动力、085801电气工程</w:t>
            </w:r>
          </w:p>
        </w:tc>
      </w:tr>
      <w:tr w14:paraId="6E3C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pct"/>
            <w:tcBorders>
              <w:tl2br w:val="nil"/>
              <w:tr2bl w:val="nil"/>
            </w:tcBorders>
            <w:shd w:val="clear" w:color="auto" w:fill="FEFEFE"/>
            <w:vAlign w:val="center"/>
          </w:tcPr>
          <w:p w14:paraId="546ED821">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085400</w:t>
            </w:r>
          </w:p>
        </w:tc>
        <w:tc>
          <w:tcPr>
            <w:tcW w:w="634" w:type="pct"/>
            <w:tcBorders>
              <w:tl2br w:val="nil"/>
              <w:tr2bl w:val="nil"/>
            </w:tcBorders>
            <w:shd w:val="clear" w:color="auto" w:fill="FEFEFE"/>
            <w:vAlign w:val="center"/>
          </w:tcPr>
          <w:p w14:paraId="3B665AAE">
            <w:pPr>
              <w:widowControl/>
              <w:jc w:val="both"/>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电子信息</w:t>
            </w:r>
          </w:p>
        </w:tc>
        <w:tc>
          <w:tcPr>
            <w:tcW w:w="513" w:type="pct"/>
            <w:tcBorders>
              <w:tl2br w:val="nil"/>
              <w:tr2bl w:val="nil"/>
            </w:tcBorders>
            <w:shd w:val="clear" w:color="auto" w:fill="FEFEFE"/>
            <w:vAlign w:val="center"/>
          </w:tcPr>
          <w:p w14:paraId="60B1A63E">
            <w:pPr>
              <w:widowControl/>
              <w:ind w:firstLine="361"/>
              <w:jc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375" w:type="pct"/>
            <w:tcBorders>
              <w:tl2br w:val="nil"/>
              <w:tr2bl w:val="nil"/>
            </w:tcBorders>
            <w:shd w:val="clear" w:color="auto" w:fill="FEFEFE"/>
            <w:vAlign w:val="center"/>
          </w:tcPr>
          <w:p w14:paraId="416EE317">
            <w:pPr>
              <w:widowControl/>
              <w:jc w:val="both"/>
              <w:rPr>
                <w:rFonts w:hint="eastAsia" w:ascii="仿宋" w:hAnsi="仿宋" w:eastAsia="仿宋" w:cs="仿宋"/>
                <w:b/>
                <w:bCs/>
                <w:color w:val="000000"/>
                <w:kern w:val="0"/>
                <w:sz w:val="18"/>
                <w:szCs w:val="18"/>
                <w:lang w:bidi="ar"/>
              </w:rPr>
            </w:pPr>
            <w:r>
              <w:rPr>
                <w:rFonts w:hint="eastAsia" w:ascii="仿宋" w:hAnsi="仿宋" w:eastAsia="仿宋" w:cs="仿宋"/>
                <w:color w:val="000000"/>
                <w:kern w:val="0"/>
                <w:sz w:val="18"/>
                <w:szCs w:val="18"/>
                <w:lang w:bidi="ar"/>
              </w:rPr>
              <w:t>英语</w:t>
            </w:r>
          </w:p>
        </w:tc>
        <w:tc>
          <w:tcPr>
            <w:tcW w:w="417" w:type="pct"/>
            <w:tcBorders>
              <w:tl2br w:val="nil"/>
              <w:tr2bl w:val="nil"/>
            </w:tcBorders>
            <w:shd w:val="clear" w:color="auto" w:fill="FEFEFE"/>
            <w:vAlign w:val="center"/>
          </w:tcPr>
          <w:p w14:paraId="1A437AFB">
            <w:pPr>
              <w:widowControl/>
              <w:jc w:val="both"/>
              <w:rPr>
                <w:rFonts w:hint="eastAsia" w:ascii="仿宋" w:hAnsi="仿宋" w:eastAsia="仿宋" w:cs="仿宋"/>
                <w:color w:val="000000"/>
                <w:kern w:val="0"/>
                <w:sz w:val="18"/>
                <w:szCs w:val="18"/>
                <w:lang w:bidi="ar"/>
              </w:rPr>
            </w:pPr>
            <w:r>
              <w:rPr>
                <w:rFonts w:hint="eastAsia" w:ascii="仿宋" w:hAnsi="仿宋" w:eastAsia="仿宋" w:cs="仿宋"/>
                <w:b w:val="0"/>
                <w:bCs w:val="0"/>
                <w:color w:val="000000"/>
                <w:kern w:val="0"/>
                <w:sz w:val="18"/>
                <w:szCs w:val="18"/>
                <w:lang w:bidi="ar"/>
              </w:rPr>
              <w:t>非全日制</w:t>
            </w:r>
          </w:p>
        </w:tc>
        <w:tc>
          <w:tcPr>
            <w:tcW w:w="2505" w:type="pct"/>
            <w:tcBorders>
              <w:tl2br w:val="nil"/>
              <w:tr2bl w:val="nil"/>
            </w:tcBorders>
            <w:shd w:val="clear" w:color="auto" w:fill="FEFEFE"/>
            <w:vAlign w:val="center"/>
          </w:tcPr>
          <w:p w14:paraId="29D1BC96">
            <w:pPr>
              <w:widowControl/>
              <w:ind w:firstLine="402"/>
              <w:jc w:val="left"/>
              <w:rPr>
                <w:rFonts w:hint="eastAsia" w:ascii="仿宋" w:hAnsi="仿宋" w:eastAsia="仿宋" w:cs="仿宋"/>
                <w:color w:val="000000"/>
                <w:sz w:val="20"/>
                <w:szCs w:val="20"/>
              </w:rPr>
            </w:pPr>
            <w:r>
              <w:rPr>
                <w:rFonts w:hint="eastAsia" w:ascii="仿宋" w:hAnsi="仿宋" w:eastAsia="仿宋" w:cs="仿宋"/>
                <w:color w:val="000000"/>
                <w:sz w:val="20"/>
                <w:szCs w:val="20"/>
              </w:rPr>
              <w:t>0804仪器科学与技术、0808电气工程、0810信息与通信工程、0811控制科学与工程、0812计算机科学与技术、0854电子信息，以上专业及其下设的二级学科或专业领域；085800能源动力、085801电气工程</w:t>
            </w:r>
          </w:p>
        </w:tc>
      </w:tr>
    </w:tbl>
    <w:p w14:paraId="24C626BD">
      <w:pPr>
        <w:shd w:val="clear" w:color="auto" w:fill="FFFFFF" w:themeFill="background1"/>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二</w:t>
      </w:r>
      <w:r>
        <w:rPr>
          <w:rFonts w:hint="eastAsia" w:ascii="仿宋" w:hAnsi="仿宋" w:eastAsia="仿宋" w:cs="仿宋"/>
          <w:sz w:val="24"/>
          <w:szCs w:val="32"/>
          <w:lang w:eastAsia="zh-CN"/>
        </w:rPr>
        <w:t>）</w:t>
      </w:r>
      <w:r>
        <w:rPr>
          <w:rFonts w:hint="eastAsia" w:ascii="仿宋" w:hAnsi="仿宋" w:eastAsia="仿宋" w:cs="仿宋"/>
          <w:sz w:val="24"/>
          <w:szCs w:val="32"/>
        </w:rPr>
        <w:t>调剂时间安排</w:t>
      </w:r>
    </w:p>
    <w:p w14:paraId="60C8D722">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符合我院调剂条件的考生在4月8日00：00-12：00登陆调剂网填报调剂申请。</w:t>
      </w:r>
      <w:r>
        <w:rPr>
          <w:rFonts w:hint="eastAsia" w:ascii="仿宋" w:hAnsi="仿宋" w:eastAsia="仿宋" w:cs="仿宋"/>
          <w:color w:val="0000FF"/>
          <w:sz w:val="24"/>
          <w:szCs w:val="32"/>
        </w:rPr>
        <w:t>4月8日17:00前学校通过调剂网完成发送复试通知</w:t>
      </w:r>
      <w:r>
        <w:rPr>
          <w:rFonts w:hint="eastAsia" w:ascii="仿宋" w:hAnsi="仿宋" w:eastAsia="仿宋" w:cs="仿宋"/>
          <w:sz w:val="24"/>
          <w:szCs w:val="32"/>
        </w:rPr>
        <w:t>，如果考生未收到复试通知，说明未获得本次调剂复试资格。接到复试通知的考生须通过调剂网在4小时内回复是否同意参加复试。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50"/>
        <w:gridCol w:w="1662"/>
      </w:tblGrid>
      <w:tr w14:paraId="58A5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DBE3F4" w:themeFill="accent1" w:themeFillTint="32"/>
          </w:tcPr>
          <w:p w14:paraId="13F20F37">
            <w:pPr>
              <w:spacing w:line="360" w:lineRule="auto"/>
              <w:jc w:val="center"/>
              <w:rPr>
                <w:rFonts w:hint="eastAsia" w:ascii="仿宋" w:hAnsi="仿宋" w:eastAsia="仿宋" w:cs="仿宋"/>
                <w:b/>
                <w:bCs/>
                <w:sz w:val="24"/>
                <w:szCs w:val="32"/>
              </w:rPr>
            </w:pPr>
            <w:r>
              <w:rPr>
                <w:rFonts w:hint="eastAsia" w:ascii="仿宋" w:hAnsi="仿宋" w:eastAsia="仿宋" w:cs="仿宋"/>
                <w:b/>
                <w:bCs/>
                <w:sz w:val="24"/>
                <w:szCs w:val="32"/>
              </w:rPr>
              <w:t>时间</w:t>
            </w:r>
          </w:p>
        </w:tc>
        <w:tc>
          <w:tcPr>
            <w:tcW w:w="3650" w:type="dxa"/>
            <w:shd w:val="clear" w:color="auto" w:fill="DBE3F4" w:themeFill="accent1" w:themeFillTint="32"/>
          </w:tcPr>
          <w:p w14:paraId="483E7EFB">
            <w:pPr>
              <w:spacing w:line="360" w:lineRule="auto"/>
              <w:jc w:val="center"/>
              <w:rPr>
                <w:rFonts w:hint="eastAsia" w:ascii="仿宋" w:hAnsi="仿宋" w:eastAsia="仿宋" w:cs="仿宋"/>
                <w:b/>
                <w:bCs/>
                <w:sz w:val="24"/>
                <w:szCs w:val="32"/>
              </w:rPr>
            </w:pPr>
            <w:r>
              <w:rPr>
                <w:rFonts w:hint="eastAsia" w:ascii="仿宋" w:hAnsi="仿宋" w:eastAsia="仿宋" w:cs="仿宋"/>
                <w:b/>
                <w:bCs/>
                <w:sz w:val="24"/>
                <w:szCs w:val="32"/>
              </w:rPr>
              <w:t>内容</w:t>
            </w:r>
          </w:p>
        </w:tc>
        <w:tc>
          <w:tcPr>
            <w:tcW w:w="1662" w:type="dxa"/>
            <w:shd w:val="clear" w:color="auto" w:fill="DBE3F4" w:themeFill="accent1" w:themeFillTint="32"/>
          </w:tcPr>
          <w:p w14:paraId="209A4066">
            <w:pPr>
              <w:spacing w:line="360" w:lineRule="auto"/>
              <w:jc w:val="center"/>
              <w:rPr>
                <w:rFonts w:hint="eastAsia" w:ascii="仿宋" w:hAnsi="仿宋" w:eastAsia="仿宋" w:cs="仿宋"/>
                <w:b/>
                <w:bCs/>
                <w:sz w:val="24"/>
                <w:szCs w:val="32"/>
              </w:rPr>
            </w:pPr>
            <w:r>
              <w:rPr>
                <w:rFonts w:hint="eastAsia" w:ascii="仿宋" w:hAnsi="仿宋" w:eastAsia="仿宋" w:cs="仿宋"/>
                <w:b/>
                <w:bCs/>
                <w:sz w:val="24"/>
                <w:szCs w:val="32"/>
              </w:rPr>
              <w:t>备注</w:t>
            </w:r>
          </w:p>
        </w:tc>
      </w:tr>
      <w:tr w14:paraId="4BF2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D681AA">
            <w:pPr>
              <w:spacing w:line="360" w:lineRule="auto"/>
              <w:rPr>
                <w:rFonts w:hint="eastAsia" w:ascii="仿宋" w:hAnsi="仿宋" w:eastAsia="仿宋" w:cs="仿宋"/>
                <w:sz w:val="24"/>
                <w:szCs w:val="32"/>
              </w:rPr>
            </w:pPr>
            <w:r>
              <w:rPr>
                <w:rFonts w:hint="eastAsia" w:ascii="仿宋" w:hAnsi="仿宋" w:eastAsia="仿宋" w:cs="仿宋"/>
                <w:sz w:val="24"/>
              </w:rPr>
              <w:t xml:space="preserve">4 月 8 日 00:00-12:00    </w:t>
            </w:r>
          </w:p>
        </w:tc>
        <w:tc>
          <w:tcPr>
            <w:tcW w:w="3650" w:type="dxa"/>
          </w:tcPr>
          <w:p w14:paraId="213935D8">
            <w:pPr>
              <w:spacing w:line="360" w:lineRule="auto"/>
              <w:rPr>
                <w:rFonts w:hint="eastAsia" w:ascii="仿宋" w:hAnsi="仿宋" w:eastAsia="仿宋" w:cs="仿宋"/>
                <w:sz w:val="24"/>
                <w:szCs w:val="32"/>
              </w:rPr>
            </w:pPr>
            <w:r>
              <w:rPr>
                <w:rFonts w:hint="eastAsia" w:ascii="仿宋" w:hAnsi="仿宋" w:eastAsia="仿宋" w:cs="仿宋"/>
                <w:sz w:val="24"/>
              </w:rPr>
              <w:t>调剂生报名</w:t>
            </w:r>
          </w:p>
        </w:tc>
        <w:tc>
          <w:tcPr>
            <w:tcW w:w="1662" w:type="dxa"/>
            <w:vMerge w:val="restart"/>
          </w:tcPr>
          <w:p w14:paraId="2AD36634">
            <w:pPr>
              <w:spacing w:line="360" w:lineRule="auto"/>
              <w:jc w:val="center"/>
              <w:rPr>
                <w:rFonts w:hint="eastAsia" w:ascii="仿宋" w:hAnsi="仿宋" w:eastAsia="仿宋" w:cs="仿宋"/>
                <w:sz w:val="24"/>
                <w:szCs w:val="32"/>
              </w:rPr>
            </w:pPr>
          </w:p>
          <w:p w14:paraId="0B049E5A">
            <w:pPr>
              <w:spacing w:line="360" w:lineRule="auto"/>
              <w:jc w:val="center"/>
              <w:rPr>
                <w:rFonts w:hint="eastAsia" w:ascii="仿宋" w:hAnsi="仿宋" w:eastAsia="仿宋" w:cs="仿宋"/>
                <w:sz w:val="24"/>
                <w:szCs w:val="32"/>
              </w:rPr>
            </w:pPr>
            <w:r>
              <w:rPr>
                <w:rFonts w:hint="eastAsia" w:ascii="仿宋" w:hAnsi="仿宋" w:eastAsia="仿宋" w:cs="仿宋"/>
                <w:sz w:val="24"/>
                <w:szCs w:val="32"/>
              </w:rPr>
              <w:t>如有变动，</w:t>
            </w:r>
          </w:p>
          <w:p w14:paraId="4B3BA4C8">
            <w:pPr>
              <w:spacing w:line="360" w:lineRule="auto"/>
              <w:jc w:val="both"/>
              <w:rPr>
                <w:rFonts w:hint="eastAsia" w:ascii="仿宋" w:hAnsi="仿宋" w:eastAsia="仿宋" w:cs="仿宋"/>
                <w:sz w:val="24"/>
                <w:szCs w:val="32"/>
              </w:rPr>
            </w:pPr>
            <w:bookmarkStart w:id="0" w:name="_GoBack"/>
            <w:bookmarkEnd w:id="0"/>
            <w:r>
              <w:rPr>
                <w:rFonts w:hint="eastAsia" w:ascii="仿宋" w:hAnsi="仿宋" w:eastAsia="仿宋" w:cs="仿宋"/>
                <w:sz w:val="24"/>
                <w:szCs w:val="32"/>
              </w:rPr>
              <w:t>请关注学院</w:t>
            </w:r>
          </w:p>
          <w:p w14:paraId="4A2D6E70">
            <w:pPr>
              <w:spacing w:line="360" w:lineRule="auto"/>
              <w:jc w:val="both"/>
              <w:rPr>
                <w:rFonts w:hint="eastAsia" w:ascii="仿宋" w:hAnsi="仿宋" w:eastAsia="仿宋" w:cs="仿宋"/>
                <w:sz w:val="24"/>
                <w:szCs w:val="32"/>
              </w:rPr>
            </w:pPr>
            <w:r>
              <w:rPr>
                <w:rFonts w:hint="eastAsia" w:ascii="仿宋" w:hAnsi="仿宋" w:eastAsia="仿宋" w:cs="仿宋"/>
                <w:sz w:val="24"/>
                <w:szCs w:val="32"/>
              </w:rPr>
              <w:t>最新通知</w:t>
            </w:r>
          </w:p>
        </w:tc>
      </w:tr>
      <w:tr w14:paraId="4452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0EA200">
            <w:pPr>
              <w:spacing w:line="360" w:lineRule="auto"/>
              <w:rPr>
                <w:rFonts w:hint="eastAsia" w:ascii="仿宋" w:hAnsi="仿宋" w:eastAsia="仿宋" w:cs="仿宋"/>
                <w:sz w:val="24"/>
                <w:szCs w:val="32"/>
              </w:rPr>
            </w:pPr>
            <w:r>
              <w:rPr>
                <w:rFonts w:hint="eastAsia" w:ascii="仿宋" w:hAnsi="仿宋" w:eastAsia="仿宋" w:cs="仿宋"/>
                <w:sz w:val="24"/>
              </w:rPr>
              <w:t>4 月 8 日 17:00 前</w:t>
            </w:r>
          </w:p>
        </w:tc>
        <w:tc>
          <w:tcPr>
            <w:tcW w:w="3650" w:type="dxa"/>
          </w:tcPr>
          <w:p w14:paraId="0D69A994">
            <w:pPr>
              <w:spacing w:line="360" w:lineRule="auto"/>
              <w:rPr>
                <w:rFonts w:hint="eastAsia" w:ascii="仿宋" w:hAnsi="仿宋" w:eastAsia="仿宋" w:cs="仿宋"/>
                <w:sz w:val="24"/>
                <w:szCs w:val="32"/>
              </w:rPr>
            </w:pPr>
            <w:r>
              <w:rPr>
                <w:rFonts w:hint="eastAsia" w:ascii="仿宋" w:hAnsi="仿宋" w:eastAsia="仿宋" w:cs="仿宋"/>
                <w:sz w:val="24"/>
              </w:rPr>
              <w:t>学校发送调剂考生复试资格</w:t>
            </w:r>
          </w:p>
        </w:tc>
        <w:tc>
          <w:tcPr>
            <w:tcW w:w="1662" w:type="dxa"/>
            <w:vMerge w:val="continue"/>
          </w:tcPr>
          <w:p w14:paraId="299B427F">
            <w:pPr>
              <w:spacing w:line="360" w:lineRule="auto"/>
              <w:rPr>
                <w:rFonts w:hint="eastAsia" w:ascii="仿宋" w:hAnsi="仿宋" w:eastAsia="仿宋" w:cs="仿宋"/>
                <w:sz w:val="24"/>
                <w:szCs w:val="32"/>
              </w:rPr>
            </w:pPr>
          </w:p>
        </w:tc>
      </w:tr>
      <w:tr w14:paraId="41DC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81BCB05">
            <w:pPr>
              <w:spacing w:line="360" w:lineRule="auto"/>
              <w:rPr>
                <w:rFonts w:hint="eastAsia" w:ascii="仿宋" w:hAnsi="仿宋" w:eastAsia="仿宋" w:cs="仿宋"/>
                <w:b/>
                <w:bCs/>
                <w:color w:val="0000FF"/>
                <w:sz w:val="24"/>
                <w:szCs w:val="32"/>
              </w:rPr>
            </w:pPr>
            <w:r>
              <w:rPr>
                <w:rFonts w:hint="eastAsia" w:ascii="仿宋" w:hAnsi="仿宋" w:eastAsia="仿宋" w:cs="仿宋"/>
                <w:b/>
                <w:bCs/>
                <w:color w:val="0000FF"/>
                <w:sz w:val="24"/>
              </w:rPr>
              <w:t>4 月 9 日 8:00  前</w:t>
            </w:r>
          </w:p>
        </w:tc>
        <w:tc>
          <w:tcPr>
            <w:tcW w:w="3650" w:type="dxa"/>
          </w:tcPr>
          <w:p w14:paraId="1D4860AD">
            <w:pPr>
              <w:spacing w:line="360" w:lineRule="auto"/>
              <w:rPr>
                <w:rFonts w:hint="eastAsia" w:ascii="仿宋" w:hAnsi="仿宋" w:eastAsia="仿宋" w:cs="仿宋"/>
                <w:b/>
                <w:bCs/>
                <w:color w:val="0000FF"/>
                <w:sz w:val="24"/>
                <w:szCs w:val="32"/>
              </w:rPr>
            </w:pPr>
            <w:r>
              <w:rPr>
                <w:rFonts w:hint="eastAsia" w:ascii="仿宋" w:hAnsi="仿宋" w:eastAsia="仿宋" w:cs="仿宋"/>
                <w:b/>
                <w:bCs/>
                <w:color w:val="0000FF"/>
                <w:sz w:val="24"/>
              </w:rPr>
              <w:t xml:space="preserve">调剂生提交材料 </w:t>
            </w:r>
          </w:p>
        </w:tc>
        <w:tc>
          <w:tcPr>
            <w:tcW w:w="1662" w:type="dxa"/>
            <w:vMerge w:val="continue"/>
          </w:tcPr>
          <w:p w14:paraId="7CB188DD">
            <w:pPr>
              <w:spacing w:line="360" w:lineRule="auto"/>
              <w:rPr>
                <w:rFonts w:hint="eastAsia" w:ascii="仿宋" w:hAnsi="仿宋" w:eastAsia="仿宋" w:cs="仿宋"/>
                <w:sz w:val="24"/>
                <w:szCs w:val="32"/>
              </w:rPr>
            </w:pPr>
          </w:p>
        </w:tc>
      </w:tr>
      <w:tr w14:paraId="30E0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37BC94">
            <w:pPr>
              <w:spacing w:line="360" w:lineRule="auto"/>
              <w:rPr>
                <w:rFonts w:hint="eastAsia" w:ascii="仿宋" w:hAnsi="仿宋" w:eastAsia="仿宋" w:cs="仿宋"/>
                <w:b/>
                <w:bCs/>
                <w:color w:val="0000FF"/>
                <w:sz w:val="24"/>
                <w:highlight w:val="yellow"/>
              </w:rPr>
            </w:pPr>
            <w:r>
              <w:rPr>
                <w:rFonts w:hint="eastAsia" w:ascii="仿宋" w:hAnsi="仿宋" w:eastAsia="仿宋" w:cs="仿宋"/>
                <w:b/>
                <w:bCs/>
                <w:color w:val="0000FF"/>
                <w:sz w:val="24"/>
                <w:highlight w:val="yellow"/>
              </w:rPr>
              <w:t>4 月 9 日8:00-9:30</w:t>
            </w:r>
          </w:p>
        </w:tc>
        <w:tc>
          <w:tcPr>
            <w:tcW w:w="3650" w:type="dxa"/>
          </w:tcPr>
          <w:p w14:paraId="124A4C57">
            <w:pPr>
              <w:spacing w:line="360" w:lineRule="auto"/>
              <w:rPr>
                <w:rFonts w:hint="eastAsia" w:ascii="仿宋" w:hAnsi="仿宋" w:eastAsia="仿宋" w:cs="仿宋"/>
                <w:b/>
                <w:bCs/>
                <w:color w:val="0000FF"/>
                <w:sz w:val="24"/>
                <w:szCs w:val="32"/>
                <w:highlight w:val="yellow"/>
              </w:rPr>
            </w:pPr>
            <w:r>
              <w:rPr>
                <w:rFonts w:hint="eastAsia" w:ascii="仿宋" w:hAnsi="仿宋" w:eastAsia="仿宋" w:cs="仿宋"/>
                <w:b/>
                <w:bCs/>
                <w:color w:val="0000FF"/>
                <w:sz w:val="24"/>
                <w:highlight w:val="yellow"/>
              </w:rPr>
              <w:t>模拟测试</w:t>
            </w:r>
          </w:p>
        </w:tc>
        <w:tc>
          <w:tcPr>
            <w:tcW w:w="1662" w:type="dxa"/>
            <w:vMerge w:val="continue"/>
          </w:tcPr>
          <w:p w14:paraId="475F5F86">
            <w:pPr>
              <w:spacing w:line="360" w:lineRule="auto"/>
              <w:rPr>
                <w:rFonts w:hint="eastAsia" w:ascii="仿宋" w:hAnsi="仿宋" w:eastAsia="仿宋" w:cs="仿宋"/>
                <w:sz w:val="24"/>
                <w:szCs w:val="32"/>
              </w:rPr>
            </w:pPr>
          </w:p>
        </w:tc>
      </w:tr>
      <w:tr w14:paraId="29AD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C891F6">
            <w:pPr>
              <w:spacing w:line="360" w:lineRule="auto"/>
              <w:rPr>
                <w:rFonts w:hint="eastAsia" w:ascii="仿宋" w:hAnsi="仿宋" w:eastAsia="仿宋" w:cs="仿宋"/>
                <w:b/>
                <w:bCs/>
                <w:color w:val="0000FF"/>
                <w:sz w:val="24"/>
                <w:szCs w:val="32"/>
                <w:highlight w:val="yellow"/>
              </w:rPr>
            </w:pPr>
            <w:r>
              <w:rPr>
                <w:rFonts w:hint="eastAsia" w:ascii="仿宋" w:hAnsi="仿宋" w:eastAsia="仿宋" w:cs="仿宋"/>
                <w:b/>
                <w:bCs/>
                <w:color w:val="0000FF"/>
                <w:sz w:val="24"/>
                <w:highlight w:val="yellow"/>
              </w:rPr>
              <w:t>4 月 9 日10:00 开始</w:t>
            </w:r>
          </w:p>
        </w:tc>
        <w:tc>
          <w:tcPr>
            <w:tcW w:w="3650" w:type="dxa"/>
          </w:tcPr>
          <w:p w14:paraId="3C945273">
            <w:pPr>
              <w:spacing w:line="360" w:lineRule="auto"/>
              <w:rPr>
                <w:rFonts w:hint="eastAsia" w:ascii="仿宋" w:hAnsi="仿宋" w:eastAsia="仿宋" w:cs="仿宋"/>
                <w:b/>
                <w:bCs/>
                <w:color w:val="0000FF"/>
                <w:sz w:val="24"/>
                <w:szCs w:val="32"/>
                <w:highlight w:val="yellow"/>
              </w:rPr>
            </w:pPr>
            <w:r>
              <w:rPr>
                <w:rFonts w:hint="eastAsia" w:ascii="仿宋" w:hAnsi="仿宋" w:eastAsia="仿宋" w:cs="仿宋"/>
                <w:b/>
                <w:bCs/>
                <w:color w:val="0000FF"/>
                <w:sz w:val="24"/>
                <w:szCs w:val="32"/>
                <w:highlight w:val="yellow"/>
              </w:rPr>
              <w:t>正式复试</w:t>
            </w:r>
          </w:p>
        </w:tc>
        <w:tc>
          <w:tcPr>
            <w:tcW w:w="1662" w:type="dxa"/>
            <w:vMerge w:val="continue"/>
          </w:tcPr>
          <w:p w14:paraId="212BD594">
            <w:pPr>
              <w:spacing w:line="360" w:lineRule="auto"/>
              <w:rPr>
                <w:rFonts w:hint="eastAsia" w:ascii="仿宋" w:hAnsi="仿宋" w:eastAsia="仿宋" w:cs="仿宋"/>
                <w:sz w:val="24"/>
                <w:szCs w:val="32"/>
              </w:rPr>
            </w:pPr>
          </w:p>
        </w:tc>
      </w:tr>
    </w:tbl>
    <w:p w14:paraId="79655894">
      <w:pPr>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五、复试考生资格</w:t>
      </w:r>
    </w:p>
    <w:p w14:paraId="40040E8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符合我校接收调剂生基本条件且在调剂网上已同意参加复试的考生，具体名单见后续通知；复试方式采取网络远程复试。</w:t>
      </w:r>
    </w:p>
    <w:p w14:paraId="76ADB564">
      <w:pPr>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六、复试内容</w:t>
      </w:r>
    </w:p>
    <w:p w14:paraId="0114BC8F">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复试内容见《大连交通大学2025年硕士研究生招生复试录取工作实施方案》和《大连交通大学电气工程学院2025年硕士研究生招生复试录取工作实施细则》。</w:t>
      </w:r>
      <w:r>
        <w:rPr>
          <w:rFonts w:hint="eastAsia" w:ascii="仿宋" w:hAnsi="仿宋" w:eastAsia="仿宋" w:cs="仿宋"/>
          <w:b/>
          <w:bCs/>
          <w:color w:val="0000FF"/>
          <w:sz w:val="24"/>
        </w:rPr>
        <w:t>考生无故不在规定时间参加复试安排，则视为放弃复试资格。</w:t>
      </w:r>
    </w:p>
    <w:p w14:paraId="13927DEA">
      <w:pPr>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七、提交材料</w:t>
      </w:r>
    </w:p>
    <w:p w14:paraId="75F523D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所有参加复试的考生需进行资格审查、信息核对等工作，材料审核通过后考生方可进入复试环节。请考生提前准备好相关材料和网络远程复试设备，按照学院安排时间将如下材料通过学信网“招生远程面试系统”提交（https://bm.chsi.com.cn/）。</w:t>
      </w:r>
    </w:p>
    <w:p w14:paraId="586BFBE7">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（一）资格审核材料</w:t>
      </w:r>
    </w:p>
    <w:p w14:paraId="41ABAF99">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1.诚信复试承诺书（见附件1）</w:t>
      </w:r>
      <w:r>
        <w:rPr>
          <w:rFonts w:hint="eastAsia" w:ascii="仿宋" w:hAnsi="仿宋" w:eastAsia="仿宋" w:cs="仿宋"/>
          <w:b/>
          <w:bCs/>
          <w:sz w:val="24"/>
          <w:szCs w:val="32"/>
        </w:rPr>
        <w:t>本人签名</w:t>
      </w:r>
      <w:r>
        <w:rPr>
          <w:rFonts w:hint="eastAsia" w:ascii="仿宋" w:hAnsi="仿宋" w:eastAsia="仿宋" w:cs="仿宋"/>
          <w:sz w:val="24"/>
          <w:szCs w:val="32"/>
        </w:rPr>
        <w:t>后扫描。</w:t>
      </w:r>
    </w:p>
    <w:p w14:paraId="727C62E3">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2.有效居民身份证正反面扫描件。</w:t>
      </w:r>
    </w:p>
    <w:p w14:paraId="28EA844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3.初试准考证扫描件或在“中国研究生招生信息网”下载电子版。</w:t>
      </w:r>
    </w:p>
    <w:p w14:paraId="47E20564">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4.学历证明：应届生提交学生证扫描件或教育部学籍在线验证报告，往届生提交毕业证扫描件或教育部学历证书电子注册备案表。</w:t>
      </w:r>
    </w:p>
    <w:p w14:paraId="44F5A67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学信网上查不到学历的考生须提交教育部“中国高等教育学历认证报告”；持有国外学历的考生，须提交教育部留学服务中心“国外学历学位认证书”。</w:t>
      </w:r>
    </w:p>
    <w:p w14:paraId="1F010F76">
      <w:pPr>
        <w:spacing w:line="360" w:lineRule="auto"/>
        <w:ind w:firstLine="482" w:firstLineChars="200"/>
        <w:rPr>
          <w:rFonts w:hint="eastAsia" w:ascii="仿宋" w:hAnsi="仿宋" w:eastAsia="仿宋" w:cs="仿宋"/>
          <w:sz w:val="24"/>
          <w:szCs w:val="32"/>
        </w:rPr>
      </w:pPr>
      <w:r>
        <w:rPr>
          <w:rFonts w:hint="eastAsia" w:ascii="仿宋" w:hAnsi="仿宋" w:eastAsia="仿宋" w:cs="仿宋"/>
          <w:b/>
          <w:bCs/>
          <w:sz w:val="24"/>
          <w:szCs w:val="32"/>
        </w:rPr>
        <w:t>请将以上材料按序汇总成一个PDF文件上传。</w:t>
      </w:r>
    </w:p>
    <w:p w14:paraId="06BAD3A0">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（二）研究生思想政治考核表</w:t>
      </w:r>
    </w:p>
    <w:p w14:paraId="4855459D">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研究生思想政治考核表（见附件2）以PDF文件的方式上传。</w:t>
      </w:r>
    </w:p>
    <w:p w14:paraId="0A5C837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（三）证明能力水平的材料</w:t>
      </w:r>
    </w:p>
    <w:p w14:paraId="1A2CF1A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考生可向复试小组提供大学本科学习成绩单、毕业设计/论文、各种等级证书、获奖证明及其它证明自己能力水平的材料，供复试小组评定成绩时参考。</w:t>
      </w:r>
    </w:p>
    <w:p w14:paraId="493F8A0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以上材料汇总成一个PDF文件上传。</w:t>
      </w:r>
    </w:p>
    <w:p w14:paraId="25A014A1">
      <w:pPr>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八、网络远程复试</w:t>
      </w:r>
    </w:p>
    <w:p w14:paraId="09441A4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（一）硬件要求</w:t>
      </w:r>
    </w:p>
    <w:p w14:paraId="14B14C65">
      <w:pPr>
        <w:spacing w:line="360" w:lineRule="auto"/>
        <w:ind w:firstLine="480" w:firstLineChars="200"/>
        <w:rPr>
          <w:rFonts w:hint="eastAsia" w:ascii="仿宋" w:hAnsi="仿宋" w:eastAsia="仿宋" w:cs="仿宋"/>
          <w:b/>
          <w:bCs/>
          <w:sz w:val="24"/>
          <w:szCs w:val="32"/>
        </w:rPr>
      </w:pPr>
      <w:r>
        <w:rPr>
          <w:rFonts w:hint="eastAsia" w:ascii="仿宋" w:hAnsi="仿宋" w:eastAsia="仿宋" w:cs="仿宋"/>
          <w:sz w:val="24"/>
          <w:szCs w:val="32"/>
        </w:rPr>
        <w:t>复试系统将采用学信网“招生远程面试系统”。使用过程采用“双机位”形式，即主机位进行面试，辅机位用来监控复试环境。主机位要求：一台笔记本电脑或手机或台式机、摄像头、麦克风和音响等。辅机位要求：一部手机。</w:t>
      </w:r>
      <w:r>
        <w:rPr>
          <w:rFonts w:hint="eastAsia" w:ascii="仿宋" w:hAnsi="仿宋" w:eastAsia="仿宋" w:cs="仿宋"/>
          <w:b/>
          <w:bCs/>
          <w:sz w:val="24"/>
          <w:szCs w:val="32"/>
        </w:rPr>
        <w:t>具体要求及操作流程见学信网“招生远程面试系统”。</w:t>
      </w:r>
    </w:p>
    <w:p w14:paraId="70CC8B6A">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1.主机位调试：考生本人正对设备摄像头，保持坐姿端正，面部、上半身在画面中清晰可见。不得遮挡面部、耳朵等部位，不得戴帽子、墨镜、口罩等，禁止使用耳机。复试全程考生应保持注视摄像头，视线不得离开，不得中途离场。</w:t>
      </w:r>
    </w:p>
    <w:p w14:paraId="720D61B5">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2.辅机位调试：摄像头从考生侧后方45°、1-2米处拍摄，需全程清晰显示考生和主机位屏幕。关闭移动设备通话、录音、录屏、直播、外放音乐、闹钟等可能影响面试的应用程序。复试过程中，辅机位麦克风和扬声器保持静音，仅开启摄像头功能。</w:t>
      </w:r>
    </w:p>
    <w:p w14:paraId="066A54DE">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（二）现场环境要求</w:t>
      </w:r>
    </w:p>
    <w:p w14:paraId="384682B8">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复试需选择在安静、无干扰、光线适宜、无遮挡、无死角的房间进行；除考生本人外不能有其他任何人员；除复试要求的设备外，房间内其他电子设备必须关闭。复试过程中视频背景须是真实环境，不得使用虚拟背景和更换视频背景。若有违反，视同作弊。</w:t>
      </w:r>
    </w:p>
    <w:p w14:paraId="04119DEC">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（三）系统使用注意事项</w:t>
      </w:r>
    </w:p>
    <w:p w14:paraId="32E4086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考生须提前测试设备和网络，复试时需保证设备电量充足，网络连接正常，保障有宽带、WIFI、4G网络等两种以上网络条件，因设备问题造成复试中断的，后果由考生本人承担。复试前，考生还需在学信网注册账号，手机里下载学信网APP。</w:t>
      </w:r>
    </w:p>
    <w:p w14:paraId="71223A11">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（四）备用系统</w:t>
      </w:r>
    </w:p>
    <w:p w14:paraId="491A8D4B">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若学信网复试系统出现故障，则立即启用备用系统进行复试。备用系统为腾讯会议，考生在复试前电脑和手机都需要安装腾讯会议软件。启用备用系统时，由复试秘书联系考生并告之相关事宜。复试全程听从校方管理人员安排，不得私自录音录影。</w:t>
      </w:r>
    </w:p>
    <w:p w14:paraId="1AAB5E79">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 xml:space="preserve">九、网络远程复试模拟测试 </w:t>
      </w:r>
    </w:p>
    <w:p w14:paraId="3B5414D6">
      <w:pPr>
        <w:spacing w:line="360" w:lineRule="auto"/>
        <w:ind w:firstLine="480" w:firstLineChars="200"/>
        <w:rPr>
          <w:rFonts w:hint="eastAsia" w:ascii="仿宋" w:hAnsi="仿宋" w:eastAsia="仿宋" w:cs="仿宋"/>
          <w:sz w:val="24"/>
        </w:rPr>
      </w:pPr>
      <w:r>
        <w:rPr>
          <w:rFonts w:hint="eastAsia" w:ascii="仿宋" w:hAnsi="仿宋" w:eastAsia="仿宋" w:cs="仿宋"/>
          <w:sz w:val="24"/>
        </w:rPr>
        <w:t>为确保参加 2025年硕士研究生招生考试网络远程复试考生的考核选拔 过程平稳顺畅，学院将组织所有复试考生进行考前模拟测试，对线上复试进 行模拟、演练，请考生提前做好相关准备，并按时参加。</w:t>
      </w:r>
      <w:r>
        <w:rPr>
          <w:rFonts w:hint="eastAsia" w:ascii="仿宋" w:hAnsi="仿宋" w:eastAsia="仿宋" w:cs="仿宋"/>
          <w:b/>
          <w:bCs/>
          <w:color w:val="0000FF"/>
          <w:sz w:val="24"/>
        </w:rPr>
        <w:t>考生无法取得联系或者不参加考前模拟测试，视为放弃本次复试资格。</w:t>
      </w:r>
    </w:p>
    <w:p w14:paraId="23B01728">
      <w:pPr>
        <w:spacing w:line="360" w:lineRule="auto"/>
        <w:ind w:firstLine="480" w:firstLineChars="200"/>
        <w:rPr>
          <w:rFonts w:hint="eastAsia" w:ascii="仿宋" w:hAnsi="仿宋" w:eastAsia="仿宋" w:cs="仿宋"/>
          <w:sz w:val="24"/>
        </w:rPr>
      </w:pPr>
      <w:r>
        <w:rPr>
          <w:rFonts w:hint="eastAsia" w:ascii="仿宋" w:hAnsi="仿宋" w:eastAsia="仿宋" w:cs="仿宋"/>
          <w:sz w:val="24"/>
        </w:rPr>
        <w:t>任何考生和机构不得对模拟测试和复试过程录音录像、拍照、截屏或者网络直播，否则将依据相关规定追究相关人员责任。</w:t>
      </w:r>
    </w:p>
    <w:p w14:paraId="357522F6">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十、注意事项</w:t>
      </w:r>
    </w:p>
    <w:p w14:paraId="69CB1181">
      <w:pPr>
        <w:spacing w:line="360" w:lineRule="auto"/>
        <w:ind w:firstLine="480" w:firstLineChars="200"/>
        <w:rPr>
          <w:rFonts w:hint="eastAsia" w:ascii="仿宋" w:hAnsi="仿宋" w:eastAsia="仿宋" w:cs="仿宋"/>
          <w:sz w:val="24"/>
        </w:rPr>
      </w:pPr>
      <w:r>
        <w:rPr>
          <w:rFonts w:hint="eastAsia" w:ascii="仿宋" w:hAnsi="仿宋" w:eastAsia="仿宋" w:cs="仿宋"/>
          <w:sz w:val="24"/>
        </w:rPr>
        <w:t>1.获得国家承认的高职高专毕业学历后满2年（毕业后到录取当年入学前，下同）或2年以上的人员，以及国家承认学历的本科结业生，需符合以下学业水平要求方可报名；且须在4月8日中午12:00前将证明材料发送到学校邮箱。</w:t>
      </w:r>
    </w:p>
    <w:p w14:paraId="2E6B6F69">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提供六门以上所报考专业本科阶段专业主干课成绩证明；</w:t>
      </w:r>
    </w:p>
    <w:p w14:paraId="6A9DD80C">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在国际或国内核心学术期刊（正刊）以第一作者身份发表一篇与所报考专业相关的学术论文。</w:t>
      </w:r>
    </w:p>
    <w:p w14:paraId="44763A72">
      <w:pPr>
        <w:spacing w:line="360" w:lineRule="auto"/>
        <w:ind w:firstLine="480" w:firstLineChars="200"/>
        <w:rPr>
          <w:rFonts w:hint="eastAsia" w:ascii="仿宋" w:hAnsi="仿宋" w:eastAsia="仿宋" w:cs="仿宋"/>
          <w:sz w:val="24"/>
        </w:rPr>
      </w:pPr>
      <w:r>
        <w:rPr>
          <w:rFonts w:hint="eastAsia" w:ascii="仿宋" w:hAnsi="仿宋" w:eastAsia="仿宋" w:cs="仿宋"/>
          <w:sz w:val="24"/>
        </w:rPr>
        <w:t>2.考生接受复试通知后，登录我校研究生院网站，查看复试工作方案及复试工作安排。</w:t>
      </w:r>
    </w:p>
    <w:p w14:paraId="06AD0B72">
      <w:pPr>
        <w:spacing w:line="360" w:lineRule="auto"/>
        <w:ind w:firstLine="480" w:firstLineChars="200"/>
        <w:rPr>
          <w:rFonts w:hint="eastAsia" w:ascii="仿宋" w:hAnsi="仿宋" w:eastAsia="仿宋" w:cs="仿宋"/>
          <w:sz w:val="24"/>
        </w:rPr>
      </w:pPr>
      <w:r>
        <w:rPr>
          <w:rFonts w:hint="eastAsia" w:ascii="仿宋" w:hAnsi="仿宋" w:eastAsia="仿宋" w:cs="仿宋"/>
          <w:sz w:val="24"/>
        </w:rPr>
        <w:t>3.学校在确定拟录取名单后，通过调剂网发送“待录取通知”，考生应于4小时内接受待录取通知，否则取消拟录取资格。考生应慎重接受待录取通知，接受后一律不予解除。</w:t>
      </w:r>
    </w:p>
    <w:p w14:paraId="379CDAB3">
      <w:pPr>
        <w:spacing w:line="360" w:lineRule="auto"/>
        <w:ind w:firstLine="480" w:firstLineChars="200"/>
        <w:rPr>
          <w:rFonts w:hint="eastAsia" w:ascii="仿宋" w:hAnsi="仿宋" w:eastAsia="仿宋" w:cs="仿宋"/>
          <w:sz w:val="24"/>
        </w:rPr>
      </w:pPr>
      <w:r>
        <w:rPr>
          <w:rFonts w:hint="eastAsia" w:ascii="仿宋" w:hAnsi="仿宋" w:eastAsia="仿宋" w:cs="仿宋"/>
          <w:sz w:val="24"/>
        </w:rPr>
        <w:t>4.考生联系方式。为方便学校与考生联系，请考生保持手机畅通。</w:t>
      </w:r>
    </w:p>
    <w:p w14:paraId="177EC70B">
      <w:pPr>
        <w:spacing w:line="360" w:lineRule="auto"/>
        <w:ind w:firstLine="480" w:firstLineChars="200"/>
        <w:rPr>
          <w:rFonts w:hint="eastAsia" w:ascii="仿宋" w:hAnsi="仿宋" w:eastAsia="仿宋" w:cs="仿宋"/>
          <w:sz w:val="24"/>
        </w:rPr>
      </w:pPr>
      <w:r>
        <w:rPr>
          <w:rFonts w:hint="eastAsia" w:ascii="仿宋" w:hAnsi="仿宋" w:eastAsia="仿宋" w:cs="仿宋"/>
          <w:sz w:val="24"/>
        </w:rPr>
        <w:t>5.因条件限制不具备网络远程复试条件的考生，可向学校提出申请，学校将根据实际情况为考生提供合理帮助。</w:t>
      </w:r>
    </w:p>
    <w:p w14:paraId="75A6A571">
      <w:pPr>
        <w:spacing w:line="360" w:lineRule="auto"/>
        <w:ind w:firstLine="480" w:firstLineChars="200"/>
        <w:rPr>
          <w:rFonts w:hint="eastAsia" w:ascii="仿宋" w:hAnsi="仿宋" w:eastAsia="仿宋" w:cs="仿宋"/>
          <w:sz w:val="24"/>
        </w:rPr>
      </w:pPr>
      <w:r>
        <w:rPr>
          <w:rFonts w:hint="eastAsia" w:ascii="仿宋" w:hAnsi="仿宋" w:eastAsia="仿宋" w:cs="仿宋"/>
          <w:sz w:val="24"/>
        </w:rPr>
        <w:t>6.考虑研究生招生复试调剂工作的动态性，我校将根据实际招生情况及时发布招生计划调整情况，请考生关注。</w:t>
      </w:r>
    </w:p>
    <w:p w14:paraId="1525E5F3">
      <w:pPr>
        <w:spacing w:line="360" w:lineRule="auto"/>
        <w:ind w:firstLine="480" w:firstLineChars="200"/>
        <w:rPr>
          <w:rFonts w:hint="eastAsia" w:ascii="仿宋" w:hAnsi="仿宋" w:eastAsia="仿宋" w:cs="仿宋"/>
          <w:sz w:val="24"/>
        </w:rPr>
      </w:pPr>
      <w:r>
        <w:rPr>
          <w:rFonts w:hint="eastAsia" w:ascii="仿宋" w:hAnsi="仿宋" w:eastAsia="仿宋" w:cs="仿宋"/>
          <w:sz w:val="24"/>
        </w:rPr>
        <w:t>7.所有非全日制研究生拟录取后均须签订《定向培养协议》，课程阶段一般周末和节假日上课，我校不提供住宿，不调取人事档案，不提供奖助学金。</w:t>
      </w:r>
    </w:p>
    <w:p w14:paraId="69F36587">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十一、联系方式</w:t>
      </w:r>
    </w:p>
    <w:p w14:paraId="398AEC79">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联系部门：大连交通大学电气工程学院办公室</w:t>
      </w:r>
    </w:p>
    <w:p w14:paraId="219E9E2C">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联 系 人：刘老师、周老师</w:t>
      </w:r>
    </w:p>
    <w:p w14:paraId="5D26CB02">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电  话：0411-86171830</w:t>
      </w:r>
    </w:p>
    <w:p w14:paraId="34470171">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网  址：</w:t>
      </w:r>
      <w:r>
        <w:fldChar w:fldCharType="begin"/>
      </w:r>
      <w:r>
        <w:instrText xml:space="preserve"> HYPERLINK "http://gs.djtu.edu.cn/" </w:instrText>
      </w:r>
      <w:r>
        <w:fldChar w:fldCharType="separate"/>
      </w:r>
      <w:r>
        <w:rPr>
          <w:rFonts w:hint="eastAsia" w:ascii="仿宋" w:hAnsi="仿宋" w:eastAsia="仿宋" w:cs="仿宋"/>
          <w:color w:val="000000"/>
          <w:kern w:val="0"/>
          <w:sz w:val="24"/>
        </w:rPr>
        <w:t>http://dxxy.djtu.edu.cn/</w:t>
      </w:r>
      <w:r>
        <w:rPr>
          <w:rFonts w:hint="eastAsia" w:ascii="仿宋" w:hAnsi="仿宋" w:eastAsia="仿宋" w:cs="仿宋"/>
          <w:color w:val="000000"/>
          <w:kern w:val="0"/>
          <w:sz w:val="24"/>
        </w:rPr>
        <w:fldChar w:fldCharType="end"/>
      </w:r>
    </w:p>
    <w:p w14:paraId="230F0D3E">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电子信箱：</w:t>
      </w:r>
      <w:r>
        <w:rPr>
          <w:rFonts w:hint="eastAsia" w:ascii="仿宋" w:hAnsi="仿宋" w:eastAsia="仿宋" w:cs="仿宋"/>
          <w:color w:val="0000FF"/>
          <w:kern w:val="0"/>
          <w:sz w:val="24"/>
        </w:rPr>
        <w:t xml:space="preserve"> zdxy@djtu.edu.cn</w:t>
      </w:r>
    </w:p>
    <w:p w14:paraId="137BB80D">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地  址：辽宁省大连市旅顺口经济开发区兴发路216号</w:t>
      </w:r>
    </w:p>
    <w:p w14:paraId="0C508ADD">
      <w:pPr>
        <w:pStyle w:val="4"/>
        <w:adjustRightInd w:val="0"/>
        <w:snapToGrid w:val="0"/>
        <w:spacing w:beforeAutospacing="0" w:afterAutospacing="0" w:line="360" w:lineRule="auto"/>
        <w:ind w:firstLine="480" w:firstLineChars="200"/>
        <w:jc w:val="both"/>
        <w:rPr>
          <w:rFonts w:hint="eastAsia" w:ascii="仿宋" w:hAnsi="仿宋" w:eastAsia="仿宋" w:cs="仿宋"/>
        </w:rPr>
      </w:pPr>
      <w:r>
        <w:rPr>
          <w:rFonts w:hint="eastAsia" w:ascii="仿宋" w:hAnsi="仿宋" w:eastAsia="仿宋" w:cs="仿宋"/>
          <w:color w:val="000000"/>
        </w:rPr>
        <w:t>邮政编码：116052</w:t>
      </w:r>
    </w:p>
    <w:p w14:paraId="08EC0659">
      <w:pPr>
        <w:spacing w:line="360" w:lineRule="auto"/>
        <w:ind w:firstLine="480" w:firstLineChars="200"/>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CE5136"/>
    <w:rsid w:val="0001400B"/>
    <w:rsid w:val="00065378"/>
    <w:rsid w:val="000F5109"/>
    <w:rsid w:val="001A644C"/>
    <w:rsid w:val="001D2EE0"/>
    <w:rsid w:val="00207288"/>
    <w:rsid w:val="002564D8"/>
    <w:rsid w:val="00293694"/>
    <w:rsid w:val="002E220E"/>
    <w:rsid w:val="003715D6"/>
    <w:rsid w:val="003B7876"/>
    <w:rsid w:val="005E597B"/>
    <w:rsid w:val="005E6882"/>
    <w:rsid w:val="00870770"/>
    <w:rsid w:val="00907506"/>
    <w:rsid w:val="00A72783"/>
    <w:rsid w:val="00AA0EA0"/>
    <w:rsid w:val="00AC27C1"/>
    <w:rsid w:val="00B812F3"/>
    <w:rsid w:val="00B87BFC"/>
    <w:rsid w:val="00CD1D2A"/>
    <w:rsid w:val="00CE23DD"/>
    <w:rsid w:val="00CE5136"/>
    <w:rsid w:val="00D92392"/>
    <w:rsid w:val="00DD2A24"/>
    <w:rsid w:val="00F03895"/>
    <w:rsid w:val="03B92C81"/>
    <w:rsid w:val="086C4442"/>
    <w:rsid w:val="0C3314EF"/>
    <w:rsid w:val="0D3E52A0"/>
    <w:rsid w:val="14AD74AF"/>
    <w:rsid w:val="172C0494"/>
    <w:rsid w:val="1BC31CAE"/>
    <w:rsid w:val="1BE21DF5"/>
    <w:rsid w:val="1CF87735"/>
    <w:rsid w:val="20D2248B"/>
    <w:rsid w:val="21E57700"/>
    <w:rsid w:val="28EA17C3"/>
    <w:rsid w:val="2B8A7ED2"/>
    <w:rsid w:val="2D2816C0"/>
    <w:rsid w:val="2D316324"/>
    <w:rsid w:val="305F2279"/>
    <w:rsid w:val="34E72111"/>
    <w:rsid w:val="38EC0D54"/>
    <w:rsid w:val="397943E6"/>
    <w:rsid w:val="3C2123AD"/>
    <w:rsid w:val="44056624"/>
    <w:rsid w:val="459D1CEF"/>
    <w:rsid w:val="49585F74"/>
    <w:rsid w:val="4CA77B53"/>
    <w:rsid w:val="4D9F3131"/>
    <w:rsid w:val="505C0548"/>
    <w:rsid w:val="5144296E"/>
    <w:rsid w:val="51B11BF6"/>
    <w:rsid w:val="52491C8D"/>
    <w:rsid w:val="52A53CE1"/>
    <w:rsid w:val="558D597B"/>
    <w:rsid w:val="562B54F1"/>
    <w:rsid w:val="5AE21C8B"/>
    <w:rsid w:val="5C8F0D4E"/>
    <w:rsid w:val="5C965957"/>
    <w:rsid w:val="624B3A09"/>
    <w:rsid w:val="65560E0F"/>
    <w:rsid w:val="6E5D3CCF"/>
    <w:rsid w:val="6F28705A"/>
    <w:rsid w:val="702B4E4C"/>
    <w:rsid w:val="762C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页眉 字符"/>
    <w:basedOn w:val="7"/>
    <w:link w:val="3"/>
    <w:qFormat/>
    <w:uiPriority w:val="0"/>
    <w:rPr>
      <w:rFonts w:asciiTheme="minorHAnsi" w:hAnsiTheme="minorHAnsi" w:eastAsiaTheme="minorEastAsia" w:cstheme="minorBidi"/>
      <w:kern w:val="2"/>
      <w:sz w:val="18"/>
      <w:szCs w:val="18"/>
    </w:rPr>
  </w:style>
  <w:style w:type="character" w:customStyle="1" w:styleId="11">
    <w:name w:val="页脚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3205</Words>
  <Characters>3533</Characters>
  <Lines>26</Lines>
  <Paragraphs>7</Paragraphs>
  <TotalTime>55</TotalTime>
  <ScaleCrop>false</ScaleCrop>
  <LinksUpToDate>false</LinksUpToDate>
  <CharactersWithSpaces>3574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2024-04-06T00:51:00Z</dcterms:created>
  <dc:creator>e_fen</dc:creator>
  <cp:lastModifiedBy>周鹏飞</cp:lastModifiedBy>
  <dcterms:modified xsi:type="dcterms:W3CDTF">2025-04-02T02:24:02Z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F4E4D61B8B3D4CBD85B40818BF701475_13</vt:lpwstr>
  </property>
  <property fmtid="{D5CDD505-2E9C-101B-9397-08002B2CF9AE}" pid="4" name="KSOTemplateDocerSaveRecord">
    <vt:lpwstr>eyJoZGlkIjoiYzVjZWI0M2NmYWQ2YTc1MTc4OWY5ZDMyZmU4NzI2NjgiLCJ1c2VySWQiOiI4Nzk3MjU2NDEifQ==</vt:lpwstr>
  </property>
</Properties>
</file>